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0C" w:rsidRDefault="002B0B0C" w:rsidP="0039752B">
      <w:pPr>
        <w:jc w:val="center"/>
        <w:rPr>
          <w:b/>
        </w:rPr>
      </w:pPr>
      <w:bookmarkStart w:id="0" w:name="_GoBack"/>
      <w:bookmarkEnd w:id="0"/>
      <w:r>
        <w:rPr>
          <w:b/>
        </w:rPr>
        <w:t>Einführung</w:t>
      </w:r>
    </w:p>
    <w:p w:rsidR="004C1F05" w:rsidRDefault="00867D5F" w:rsidP="002B0B0C">
      <w:pPr>
        <w:rPr>
          <w:b/>
        </w:rPr>
      </w:pPr>
      <w:r>
        <w:rPr>
          <w:b/>
        </w:rPr>
        <w:t xml:space="preserve">Für Verarbeitungsprozesse mit hohem Risiko für Rechte und Freiheiten natürlicher Personen müssen </w:t>
      </w:r>
      <w:r w:rsidR="004C1F05">
        <w:rPr>
          <w:b/>
        </w:rPr>
        <w:t>Sie eine Folgeschabschätzung gemäß A</w:t>
      </w:r>
      <w:r>
        <w:rPr>
          <w:b/>
        </w:rPr>
        <w:t>rtikel 35 DS-GVO durchführen</w:t>
      </w:r>
      <w:r w:rsidR="004C1F05">
        <w:rPr>
          <w:b/>
        </w:rPr>
        <w:t>, z.B. bei Videoüberwachung oder Fing</w:t>
      </w:r>
      <w:r w:rsidR="002C787C">
        <w:rPr>
          <w:b/>
        </w:rPr>
        <w:t>er</w:t>
      </w:r>
      <w:r w:rsidR="004C1F05">
        <w:rPr>
          <w:b/>
        </w:rPr>
        <w:t>print-Scannern</w:t>
      </w:r>
      <w:r>
        <w:rPr>
          <w:b/>
        </w:rPr>
        <w:t xml:space="preserve">. </w:t>
      </w:r>
      <w:r w:rsidR="002C787C">
        <w:rPr>
          <w:b/>
        </w:rPr>
        <w:t xml:space="preserve">Wenn Sie eine Folgenabschätzung durchzuführen haben, unterliegen Sie gemäß § 38 Absatz 1 BDSG auch automatisch </w:t>
      </w:r>
      <w:r w:rsidR="00F05429">
        <w:rPr>
          <w:b/>
        </w:rPr>
        <w:t>der Pflicht zur Bestellung eines</w:t>
      </w:r>
      <w:r w:rsidR="002C787C">
        <w:rPr>
          <w:b/>
        </w:rPr>
        <w:t xml:space="preserve"> Datenschutzbeauftragten. </w:t>
      </w:r>
      <w:r>
        <w:rPr>
          <w:b/>
        </w:rPr>
        <w:t>G</w:t>
      </w:r>
      <w:r w:rsidR="002C787C">
        <w:rPr>
          <w:b/>
        </w:rPr>
        <w:t>emäß Art. 35 Abs</w:t>
      </w:r>
      <w:r w:rsidR="003E3D60">
        <w:rPr>
          <w:b/>
        </w:rPr>
        <w:t>atz 2 DS-GVO holen Sie den Rat I</w:t>
      </w:r>
      <w:r w:rsidR="002C787C">
        <w:rPr>
          <w:b/>
        </w:rPr>
        <w:t>hres Datenschutzbeauftragten bei einer Folgenabschätzung ein.</w:t>
      </w:r>
    </w:p>
    <w:p w:rsidR="00F05429" w:rsidRDefault="00F05429" w:rsidP="002B0B0C">
      <w:pPr>
        <w:rPr>
          <w:b/>
        </w:rPr>
      </w:pPr>
      <w:r>
        <w:rPr>
          <w:b/>
        </w:rPr>
        <w:t xml:space="preserve">Nachfolgend stellen wir zunächst vor, welchen Inhalt und Ablauf eine Folgenabschätzung haben muss und </w:t>
      </w:r>
      <w:r w:rsidR="00D27125">
        <w:rPr>
          <w:b/>
        </w:rPr>
        <w:t>geben Ihnen im Anschluss ein Beispiel für eine Folgenabschätzung.</w:t>
      </w:r>
    </w:p>
    <w:p w:rsidR="00F4508A" w:rsidRDefault="002B0B0C" w:rsidP="002B0B0C">
      <w:pPr>
        <w:rPr>
          <w:b/>
        </w:rPr>
      </w:pPr>
      <w:r>
        <w:rPr>
          <w:b/>
        </w:rPr>
        <w:t xml:space="preserve">Dieses Muster einer Folgenabschätzung </w:t>
      </w:r>
      <w:r w:rsidR="00F4508A">
        <w:rPr>
          <w:b/>
        </w:rPr>
        <w:t xml:space="preserve">gemäß Artikel 35 DS-GVO </w:t>
      </w:r>
      <w:r>
        <w:rPr>
          <w:b/>
        </w:rPr>
        <w:t xml:space="preserve">für </w:t>
      </w:r>
      <w:r w:rsidR="007D6696">
        <w:rPr>
          <w:b/>
        </w:rPr>
        <w:t xml:space="preserve">die </w:t>
      </w:r>
      <w:r>
        <w:rPr>
          <w:b/>
        </w:rPr>
        <w:t>Videoüberwachung im öffentlichen Raum, also dem Ve</w:t>
      </w:r>
      <w:r w:rsidR="003E3D60">
        <w:rPr>
          <w:b/>
        </w:rPr>
        <w:t>rkaufsraum der Apotheke, dient I</w:t>
      </w:r>
      <w:r>
        <w:rPr>
          <w:b/>
        </w:rPr>
        <w:t>hrer Orientierung. Wir übernehmen keine Haftung oder sonstige Gewährleistung für die Ric</w:t>
      </w:r>
      <w:r w:rsidR="00F4508A">
        <w:rPr>
          <w:b/>
        </w:rPr>
        <w:t>htigkeit und Vollständigkeit der</w:t>
      </w:r>
      <w:r>
        <w:rPr>
          <w:b/>
        </w:rPr>
        <w:t xml:space="preserve"> folgen</w:t>
      </w:r>
      <w:r w:rsidR="00F4508A">
        <w:rPr>
          <w:b/>
        </w:rPr>
        <w:t>den Folgenabschätzung für Videoüberwachung</w:t>
      </w:r>
      <w:r>
        <w:rPr>
          <w:b/>
        </w:rPr>
        <w:t>, und weisen darauf hin, dass das Muster noch an den individuellen Betrieb angepasst werden muss.</w:t>
      </w:r>
      <w:r w:rsidR="00F4508A">
        <w:rPr>
          <w:b/>
        </w:rPr>
        <w:t xml:space="preserve"> So können bei Ihnen die Kameras anders aufgestellt sein oder auch eine kurzfristige Überwachung des nichtöffentlichen Bereichs der Apotheke gegeben sein.</w:t>
      </w:r>
      <w:r>
        <w:rPr>
          <w:b/>
        </w:rPr>
        <w:t xml:space="preserve"> </w:t>
      </w:r>
      <w:r w:rsidR="00F4508A">
        <w:rPr>
          <w:b/>
        </w:rPr>
        <w:t>Ihr fertig angepasstes Muster legen Sie Ihrem Verfahrensverzeichnis bei, am besten zum Verarbeitungsprozess „Videoüberwachung“.</w:t>
      </w:r>
    </w:p>
    <w:p w:rsidR="002B0B0C" w:rsidRDefault="00F4508A" w:rsidP="002B0B0C">
      <w:pPr>
        <w:rPr>
          <w:b/>
        </w:rPr>
      </w:pPr>
      <w:r>
        <w:rPr>
          <w:b/>
        </w:rPr>
        <w:t xml:space="preserve">Zusätzlich </w:t>
      </w:r>
      <w:r w:rsidR="002B0B0C">
        <w:rPr>
          <w:b/>
        </w:rPr>
        <w:t xml:space="preserve">hängen Sie </w:t>
      </w:r>
      <w:r>
        <w:rPr>
          <w:b/>
        </w:rPr>
        <w:t>gut sichtbar</w:t>
      </w:r>
      <w:r w:rsidR="002B0B0C">
        <w:rPr>
          <w:b/>
        </w:rPr>
        <w:t xml:space="preserve"> entsprechend dem </w:t>
      </w:r>
      <w:r>
        <w:rPr>
          <w:b/>
        </w:rPr>
        <w:t xml:space="preserve">mitgelieferten </w:t>
      </w:r>
      <w:r w:rsidR="002B0B0C">
        <w:rPr>
          <w:b/>
        </w:rPr>
        <w:t>Beispiel der Landesbeauftragten für Datenschutz aus Niedersachsen</w:t>
      </w:r>
      <w:r>
        <w:rPr>
          <w:b/>
        </w:rPr>
        <w:t xml:space="preserve"> ein Informationsblatt bzw. Hinweis auf die Videoüberwachung am Eingang </w:t>
      </w:r>
      <w:r w:rsidR="007D6696">
        <w:rPr>
          <w:b/>
        </w:rPr>
        <w:t>I</w:t>
      </w:r>
      <w:r>
        <w:rPr>
          <w:b/>
        </w:rPr>
        <w:t xml:space="preserve">hrer Apotheke aus. </w:t>
      </w:r>
    </w:p>
    <w:p w:rsidR="00CA648D" w:rsidRDefault="00CA648D" w:rsidP="002B0B0C">
      <w:pPr>
        <w:rPr>
          <w:b/>
        </w:rPr>
      </w:pPr>
    </w:p>
    <w:p w:rsidR="00804E1C" w:rsidRDefault="0039752B" w:rsidP="0039752B">
      <w:pPr>
        <w:jc w:val="center"/>
        <w:rPr>
          <w:b/>
        </w:rPr>
      </w:pPr>
      <w:r>
        <w:rPr>
          <w:b/>
        </w:rPr>
        <w:t>Folgenabschätzung</w:t>
      </w:r>
      <w:r w:rsidR="00804E1C">
        <w:rPr>
          <w:b/>
        </w:rPr>
        <w:t xml:space="preserve"> </w:t>
      </w:r>
    </w:p>
    <w:p w:rsidR="00093164" w:rsidRDefault="00804E1C" w:rsidP="0039752B">
      <w:pPr>
        <w:jc w:val="center"/>
        <w:rPr>
          <w:b/>
        </w:rPr>
      </w:pPr>
      <w:r>
        <w:t xml:space="preserve">(nach </w:t>
      </w:r>
      <w:r>
        <w:rPr>
          <w:rFonts w:cs="Arial"/>
        </w:rPr>
        <w:t>Koreng/Lachmann, Formularhandbuch Datenschutzrecht, 2. Auflage)</w:t>
      </w:r>
    </w:p>
    <w:p w:rsidR="0039752B" w:rsidRDefault="0039752B" w:rsidP="0039752B"/>
    <w:p w:rsidR="0039752B" w:rsidRDefault="0039752B" w:rsidP="0039752B">
      <w:r w:rsidRPr="0039752B">
        <w:rPr>
          <w:b/>
        </w:rPr>
        <w:t>Zuständig für die Durchführung:</w:t>
      </w:r>
      <w:r>
        <w:t xml:space="preserve"> </w:t>
      </w:r>
      <w:r w:rsidRPr="004C1F05">
        <w:t>Verantwortliche bzw. der Betriebserlaubnisinhaber</w:t>
      </w:r>
    </w:p>
    <w:p w:rsidR="0039752B" w:rsidRPr="0039752B" w:rsidRDefault="0039752B" w:rsidP="0039752B">
      <w:pPr>
        <w:rPr>
          <w:b/>
        </w:rPr>
      </w:pPr>
      <w:r w:rsidRPr="0039752B">
        <w:rPr>
          <w:b/>
        </w:rPr>
        <w:t>Hinzuziehung des Datenschutzbeauftragten der Apotheke erforderlich</w:t>
      </w:r>
    </w:p>
    <w:p w:rsidR="0039752B" w:rsidRDefault="0039752B" w:rsidP="0039752B">
      <w:r w:rsidRPr="0039752B">
        <w:rPr>
          <w:b/>
        </w:rPr>
        <w:t>Zeitpunkt:</w:t>
      </w:r>
      <w:r>
        <w:rPr>
          <w:b/>
        </w:rPr>
        <w:t xml:space="preserve"> </w:t>
      </w:r>
      <w:r>
        <w:t>vor Beginn der Verarbeitung</w:t>
      </w:r>
    </w:p>
    <w:p w:rsidR="0039752B" w:rsidRDefault="0039752B" w:rsidP="0039752B">
      <w:pPr>
        <w:rPr>
          <w:b/>
        </w:rPr>
      </w:pPr>
      <w:r w:rsidRPr="00E70C81">
        <w:rPr>
          <w:b/>
        </w:rPr>
        <w:t>1</w:t>
      </w:r>
      <w:r w:rsidR="00E3484C" w:rsidRPr="00E70C81">
        <w:rPr>
          <w:b/>
        </w:rPr>
        <w:t>. Beschreibung</w:t>
      </w:r>
    </w:p>
    <w:p w:rsidR="00804E1C" w:rsidRPr="00804E1C" w:rsidRDefault="00804E1C" w:rsidP="00804E1C">
      <w:pPr>
        <w:pStyle w:val="aufz"/>
        <w:rPr>
          <w:rFonts w:asciiTheme="minorHAnsi" w:hAnsiTheme="minorHAnsi"/>
          <w:sz w:val="22"/>
          <w:szCs w:val="22"/>
        </w:rPr>
      </w:pPr>
      <w:r w:rsidRPr="00804E1C">
        <w:rPr>
          <w:rFonts w:asciiTheme="minorHAnsi" w:hAnsiTheme="minorHAnsi"/>
          <w:sz w:val="22"/>
          <w:szCs w:val="22"/>
        </w:rPr>
        <w:t>Systematische Beschreibung der geplanten Verarbeitungsvorgänge</w:t>
      </w:r>
    </w:p>
    <w:p w:rsidR="00804E1C" w:rsidRPr="00804E1C" w:rsidRDefault="00804E1C" w:rsidP="00804E1C">
      <w:pPr>
        <w:pStyle w:val="aufz"/>
        <w:numPr>
          <w:ilvl w:val="0"/>
          <w:numId w:val="2"/>
        </w:numPr>
        <w:rPr>
          <w:rFonts w:asciiTheme="minorHAnsi" w:hAnsiTheme="minorHAnsi"/>
          <w:sz w:val="22"/>
          <w:szCs w:val="22"/>
        </w:rPr>
      </w:pPr>
      <w:r w:rsidRPr="00804E1C">
        <w:rPr>
          <w:rFonts w:asciiTheme="minorHAnsi" w:hAnsiTheme="minorHAnsi"/>
          <w:sz w:val="22"/>
          <w:szCs w:val="22"/>
        </w:rPr>
        <w:t>Art, Umfang, Umstände und Zwecke der Verarbeitung</w:t>
      </w:r>
    </w:p>
    <w:p w:rsidR="00804E1C" w:rsidRPr="00804E1C" w:rsidRDefault="00804E1C" w:rsidP="00804E1C">
      <w:pPr>
        <w:pStyle w:val="aufz"/>
        <w:numPr>
          <w:ilvl w:val="0"/>
          <w:numId w:val="2"/>
        </w:numPr>
        <w:rPr>
          <w:rFonts w:asciiTheme="minorHAnsi" w:hAnsiTheme="minorHAnsi"/>
          <w:sz w:val="22"/>
          <w:szCs w:val="22"/>
        </w:rPr>
      </w:pPr>
      <w:r w:rsidRPr="00804E1C">
        <w:rPr>
          <w:rFonts w:asciiTheme="minorHAnsi" w:hAnsiTheme="minorHAnsi"/>
          <w:sz w:val="22"/>
          <w:szCs w:val="22"/>
        </w:rPr>
        <w:t>Art der personenbezogenen Daten, Empfänger und Speicherfristen</w:t>
      </w:r>
    </w:p>
    <w:p w:rsidR="00804E1C" w:rsidRPr="00804E1C" w:rsidRDefault="00804E1C" w:rsidP="00804E1C">
      <w:pPr>
        <w:pStyle w:val="aufz"/>
        <w:numPr>
          <w:ilvl w:val="0"/>
          <w:numId w:val="2"/>
        </w:numPr>
        <w:rPr>
          <w:rFonts w:asciiTheme="minorHAnsi" w:hAnsiTheme="minorHAnsi"/>
          <w:sz w:val="22"/>
          <w:szCs w:val="22"/>
        </w:rPr>
      </w:pPr>
      <w:r w:rsidRPr="00804E1C">
        <w:rPr>
          <w:rFonts w:asciiTheme="minorHAnsi" w:hAnsiTheme="minorHAnsi"/>
          <w:sz w:val="22"/>
          <w:szCs w:val="22"/>
        </w:rPr>
        <w:t>eingesetzte Datenträger, Wissensträger und/oder Trägermedien (Hardware, Software, Netzwerke, Personen, Papier etc.)</w:t>
      </w:r>
    </w:p>
    <w:p w:rsidR="00804E1C" w:rsidRPr="00804E1C" w:rsidRDefault="00804E1C" w:rsidP="00804E1C">
      <w:pPr>
        <w:pStyle w:val="aufz"/>
        <w:numPr>
          <w:ilvl w:val="0"/>
          <w:numId w:val="2"/>
        </w:numPr>
        <w:rPr>
          <w:rFonts w:asciiTheme="minorHAnsi" w:hAnsiTheme="minorHAnsi"/>
          <w:sz w:val="22"/>
          <w:szCs w:val="22"/>
        </w:rPr>
      </w:pPr>
      <w:r w:rsidRPr="00804E1C">
        <w:rPr>
          <w:rFonts w:asciiTheme="minorHAnsi" w:hAnsiTheme="minorHAnsi"/>
          <w:sz w:val="22"/>
          <w:szCs w:val="22"/>
        </w:rPr>
        <w:t>Branche, Rolle des Verantwortlichen und Rolle des Betroffenen</w:t>
      </w:r>
    </w:p>
    <w:p w:rsidR="00804E1C" w:rsidRPr="00804E1C" w:rsidRDefault="00804E1C" w:rsidP="00804E1C">
      <w:pPr>
        <w:pStyle w:val="aufz"/>
        <w:numPr>
          <w:ilvl w:val="0"/>
          <w:numId w:val="2"/>
        </w:numPr>
        <w:rPr>
          <w:rFonts w:asciiTheme="minorHAnsi" w:hAnsiTheme="minorHAnsi"/>
          <w:sz w:val="22"/>
          <w:szCs w:val="22"/>
        </w:rPr>
      </w:pPr>
      <w:r w:rsidRPr="00804E1C">
        <w:rPr>
          <w:rFonts w:asciiTheme="minorHAnsi" w:hAnsiTheme="minorHAnsi"/>
          <w:sz w:val="22"/>
          <w:szCs w:val="22"/>
        </w:rPr>
        <w:t>zusammenfassend: Alle datenschutzrelevanten Sachverhaltsmerkmale und die eingesetzte Technik müssen so konkret beschrieben werden, dass sich die Phasen der Bewertung und der Bewältigung anschließen können.</w:t>
      </w:r>
    </w:p>
    <w:p w:rsidR="00804E1C" w:rsidRPr="00804E1C" w:rsidRDefault="00804E1C" w:rsidP="00804E1C">
      <w:pPr>
        <w:pStyle w:val="Listenabsatz"/>
        <w:numPr>
          <w:ilvl w:val="0"/>
          <w:numId w:val="2"/>
        </w:numPr>
        <w:spacing w:before="100" w:beforeAutospacing="1" w:after="100" w:afterAutospacing="1" w:line="240" w:lineRule="auto"/>
        <w:rPr>
          <w:rFonts w:eastAsia="Times New Roman" w:cs="Times New Roman"/>
          <w:lang w:eastAsia="de-DE"/>
        </w:rPr>
      </w:pPr>
      <w:r w:rsidRPr="00804E1C">
        <w:rPr>
          <w:rFonts w:eastAsia="Times New Roman" w:cs="Times New Roman"/>
          <w:lang w:eastAsia="de-DE"/>
        </w:rPr>
        <w:t>Systematische Beschreibung der Zwecke der Verarbeitung, z. B. Abrechnung, Diebstahlsschutz, Aufklärung von Straftaten</w:t>
      </w:r>
    </w:p>
    <w:p w:rsidR="00804E1C" w:rsidRPr="00EA2A41" w:rsidRDefault="00804E1C" w:rsidP="0039752B">
      <w:pPr>
        <w:pStyle w:val="Listenabsatz"/>
        <w:numPr>
          <w:ilvl w:val="0"/>
          <w:numId w:val="2"/>
        </w:numPr>
        <w:spacing w:before="100" w:beforeAutospacing="1" w:after="100" w:afterAutospacing="1" w:line="240" w:lineRule="auto"/>
        <w:rPr>
          <w:rFonts w:eastAsia="Times New Roman" w:cs="Times New Roman"/>
          <w:lang w:eastAsia="de-DE"/>
        </w:rPr>
      </w:pPr>
      <w:r w:rsidRPr="00EA2A41">
        <w:rPr>
          <w:rFonts w:eastAsia="Times New Roman" w:cs="Times New Roman"/>
          <w:lang w:eastAsia="de-DE"/>
        </w:rPr>
        <w:lastRenderedPageBreak/>
        <w:t>Systematische Beschreibung der von dem Verantwortlichen verfolgten berechtigten Interessen: rechtlicher, wirtschaftlicher, ideeller oder sonstiger Art (Überschneidungen mit der Beschreibung des Zwecks möglich).</w:t>
      </w:r>
    </w:p>
    <w:p w:rsidR="003945AF" w:rsidRDefault="003945AF" w:rsidP="0039752B"/>
    <w:p w:rsidR="00E3484C" w:rsidRDefault="00E3484C" w:rsidP="0039752B">
      <w:pPr>
        <w:rPr>
          <w:b/>
        </w:rPr>
      </w:pPr>
      <w:r w:rsidRPr="00E70C81">
        <w:rPr>
          <w:b/>
        </w:rPr>
        <w:t>2. Bewertung</w:t>
      </w:r>
    </w:p>
    <w:p w:rsidR="00BC7AFC" w:rsidRDefault="00640BCC" w:rsidP="00C7698A">
      <w:r>
        <w:t>Systematische Prüfung</w:t>
      </w:r>
      <w:r w:rsidR="00BC7AFC">
        <w:t xml:space="preserve"> der geplanten Verarbeitungsvorgänge</w:t>
      </w:r>
      <w:r>
        <w:t xml:space="preserve"> und Bewertung der Risi</w:t>
      </w:r>
      <w:r w:rsidR="00BC7AFC">
        <w:t>ken</w:t>
      </w:r>
      <w:r>
        <w:t>:</w:t>
      </w:r>
    </w:p>
    <w:p w:rsidR="00BC7AFC" w:rsidRDefault="00BC7AFC" w:rsidP="00BC7AFC">
      <w:pPr>
        <w:pStyle w:val="Listenabsatz"/>
        <w:numPr>
          <w:ilvl w:val="0"/>
          <w:numId w:val="3"/>
        </w:numPr>
      </w:pPr>
      <w:r>
        <w:t>Bewertung der Notwendigkeit und Verhältnismäßigkeit der Verarbeitungsvorgänge in Bezug auf den Zweck</w:t>
      </w:r>
    </w:p>
    <w:p w:rsidR="00576159" w:rsidRDefault="00BC7AFC" w:rsidP="00576159">
      <w:pPr>
        <w:pStyle w:val="Listenabsatz"/>
        <w:numPr>
          <w:ilvl w:val="0"/>
          <w:numId w:val="3"/>
        </w:numPr>
      </w:pPr>
      <w:r>
        <w:t>Berücksichtigung und Abwägung von Betroffenenrechten und die Risiken für die Rechte und Freiheiten der Betroffenen</w:t>
      </w:r>
      <w:r w:rsidR="000C77FF">
        <w:t xml:space="preserve"> zum verfolgten Zweck</w:t>
      </w:r>
    </w:p>
    <w:p w:rsidR="003945AF" w:rsidRPr="00576159" w:rsidRDefault="003945AF" w:rsidP="00576159">
      <w:pPr>
        <w:pStyle w:val="Listenabsatz"/>
        <w:numPr>
          <w:ilvl w:val="0"/>
          <w:numId w:val="3"/>
        </w:numPr>
      </w:pPr>
      <w:r w:rsidRPr="00576159">
        <w:rPr>
          <w:rFonts w:eastAsia="Times New Roman" w:cs="Arial"/>
          <w:lang w:eastAsia="de-DE"/>
        </w:rPr>
        <w:t>Zur Bewertung der einzelnen Faktoren (nach ISO 29134, Annex A):</w:t>
      </w:r>
    </w:p>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i/>
          <w:iCs/>
          <w:lang w:eastAsia="de-DE"/>
        </w:rPr>
        <w:t>Bemessung der Schwere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0"/>
        <w:gridCol w:w="7592"/>
      </w:tblGrid>
      <w:tr w:rsidR="003945AF" w:rsidRPr="003945AF" w:rsidTr="003945AF">
        <w:trPr>
          <w:tblCellSpacing w:w="15" w:type="dxa"/>
        </w:trPr>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bookmarkStart w:id="1" w:name="Y-600-W-KorengLachenmannFbDSR-NAME-tab34"/>
            <w:bookmarkEnd w:id="1"/>
            <w:r w:rsidRPr="003945AF">
              <w:rPr>
                <w:rFonts w:eastAsia="Times New Roman" w:cs="Arial"/>
                <w:lang w:eastAsia="de-DE"/>
              </w:rPr>
              <w:t>maximal</w:t>
            </w:r>
          </w:p>
        </w:tc>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möglicher Eintritt signifikanter, sogar irreversibler Konsequenzen, die nicht überwunden werden können (Vernichtung der wirtschaftlichen Existenz, Arbeitsunfähigkeit, dauerhafte physische oder psychische Konsequenzen, Tod)</w:t>
            </w:r>
          </w:p>
        </w:tc>
      </w:tr>
      <w:tr w:rsidR="003945AF" w:rsidRPr="003945AF" w:rsidTr="003945AF">
        <w:trPr>
          <w:tblCellSpacing w:w="15" w:type="dxa"/>
        </w:trPr>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wesentlich</w:t>
            </w:r>
          </w:p>
        </w:tc>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möglicher Eintritt signifikanter Konsequenzen, die sich – wenn auch ggf. mit großen Anstrengungen – wieder überwinden lassen (Verlust der Kreditwürdigkeit, Verlust von Eigentum, gesundheitliche Verschlechterung)</w:t>
            </w:r>
          </w:p>
        </w:tc>
      </w:tr>
      <w:tr w:rsidR="003945AF" w:rsidRPr="003945AF" w:rsidTr="003945AF">
        <w:trPr>
          <w:tblCellSpacing w:w="15" w:type="dxa"/>
        </w:trPr>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begrenzt</w:t>
            </w:r>
          </w:p>
        </w:tc>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möglicher Eintritt signifikanter Konsequenzen, die sich mit nur geringen Anstrengungen wieder überwinden lassen (Zusatzkosten, Stress, geringe physische Belastungen)</w:t>
            </w:r>
          </w:p>
        </w:tc>
      </w:tr>
      <w:tr w:rsidR="003945AF" w:rsidRPr="003945AF" w:rsidTr="003945AF">
        <w:trPr>
          <w:tblCellSpacing w:w="15" w:type="dxa"/>
        </w:trPr>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vernachlässigbar</w:t>
            </w:r>
          </w:p>
        </w:tc>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Eintritt allenfalls bloßer Belästigungen, die sich ohne Probleme ertragen lassen (Ärgernisse, kurzer Zeitverlust etc.)</w:t>
            </w:r>
          </w:p>
        </w:tc>
      </w:tr>
    </w:tbl>
    <w:p w:rsidR="00E3228B" w:rsidRDefault="00E3228B" w:rsidP="003945AF">
      <w:pPr>
        <w:spacing w:before="100" w:beforeAutospacing="1" w:after="100" w:afterAutospacing="1" w:line="240" w:lineRule="auto"/>
        <w:rPr>
          <w:rFonts w:eastAsia="Times New Roman" w:cs="Arial"/>
          <w:i/>
          <w:iCs/>
          <w:lang w:eastAsia="de-DE"/>
        </w:rPr>
      </w:pPr>
    </w:p>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i/>
          <w:iCs/>
          <w:lang w:eastAsia="de-DE"/>
        </w:rPr>
        <w:t>Bemessung der Eintrittswahrscheinlichkeit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0"/>
        <w:gridCol w:w="7592"/>
      </w:tblGrid>
      <w:tr w:rsidR="003945AF" w:rsidRPr="003945AF" w:rsidTr="003945AF">
        <w:trPr>
          <w:tblCellSpacing w:w="15" w:type="dxa"/>
        </w:trPr>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bookmarkStart w:id="2" w:name="Y-600-W-KorengLachenmannFbDSR-NAME-tab35"/>
            <w:bookmarkEnd w:id="2"/>
            <w:r w:rsidRPr="003945AF">
              <w:rPr>
                <w:rFonts w:eastAsia="Times New Roman" w:cs="Arial"/>
                <w:lang w:eastAsia="de-DE"/>
              </w:rPr>
              <w:t>maximal</w:t>
            </w:r>
          </w:p>
        </w:tc>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Realisierung der Bedrohung erscheint aufgrund der gewählten Ressourcen sehr leicht möglich (z. B. Aufbewahrung im öffentlich zugänglichen Bereich)</w:t>
            </w:r>
          </w:p>
        </w:tc>
      </w:tr>
      <w:tr w:rsidR="003945AF" w:rsidRPr="003945AF" w:rsidTr="003945AF">
        <w:trPr>
          <w:tblCellSpacing w:w="15" w:type="dxa"/>
        </w:trPr>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wesentlich</w:t>
            </w:r>
          </w:p>
        </w:tc>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Realisierung der Bedrohung erscheint aufgrund der gewählten Ressourcen möglich (z. B. Aufbewahrung im öffentlich zugänglichen Bereich mit leicht umgehbarer Zutrittskontrolle/-beschränkung)</w:t>
            </w:r>
          </w:p>
        </w:tc>
      </w:tr>
      <w:tr w:rsidR="003945AF" w:rsidRPr="003945AF" w:rsidTr="003945AF">
        <w:trPr>
          <w:tblCellSpacing w:w="15" w:type="dxa"/>
        </w:trPr>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begrenzt</w:t>
            </w:r>
          </w:p>
        </w:tc>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Realisierung der Bedrohung erscheint aufgrund der gewählten Ressourcen schwer möglich (z. B. einfache Zugangssicherung)</w:t>
            </w:r>
          </w:p>
        </w:tc>
      </w:tr>
      <w:tr w:rsidR="003945AF" w:rsidRPr="003945AF" w:rsidTr="003945AF">
        <w:trPr>
          <w:tblCellSpacing w:w="15" w:type="dxa"/>
        </w:trPr>
        <w:tc>
          <w:tcPr>
            <w:tcW w:w="0" w:type="auto"/>
            <w:hideMark/>
          </w:tcPr>
          <w:p w:rsidR="003945AF"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vernachlässigbar</w:t>
            </w:r>
          </w:p>
        </w:tc>
        <w:tc>
          <w:tcPr>
            <w:tcW w:w="0" w:type="auto"/>
            <w:hideMark/>
          </w:tcPr>
          <w:p w:rsidR="00F55021" w:rsidRPr="003945AF" w:rsidRDefault="003945AF" w:rsidP="003945AF">
            <w:pPr>
              <w:spacing w:before="100" w:beforeAutospacing="1" w:after="100" w:afterAutospacing="1" w:line="240" w:lineRule="auto"/>
              <w:rPr>
                <w:rFonts w:eastAsia="Times New Roman" w:cs="Arial"/>
                <w:lang w:eastAsia="de-DE"/>
              </w:rPr>
            </w:pPr>
            <w:r w:rsidRPr="003945AF">
              <w:rPr>
                <w:rFonts w:eastAsia="Times New Roman" w:cs="Arial"/>
                <w:lang w:eastAsia="de-DE"/>
              </w:rPr>
              <w:t>Realisierung der Bedrohung erscheint aufgrund der gewählten Ressourcen nicht möglich (z. B. doppelte Zugangssicherung)</w:t>
            </w:r>
          </w:p>
        </w:tc>
      </w:tr>
    </w:tbl>
    <w:p w:rsidR="003945AF" w:rsidRPr="00A81E23" w:rsidRDefault="003945AF" w:rsidP="00F55021"/>
    <w:p w:rsidR="00E3484C" w:rsidRPr="00E70C81" w:rsidRDefault="00E3484C" w:rsidP="0039752B">
      <w:pPr>
        <w:rPr>
          <w:rFonts w:cs="Arial"/>
          <w:b/>
        </w:rPr>
      </w:pPr>
      <w:r w:rsidRPr="00E70C81">
        <w:rPr>
          <w:rFonts w:cs="Arial"/>
          <w:b/>
        </w:rPr>
        <w:t>3. Bewältigung der identifizierten Risiken</w:t>
      </w:r>
    </w:p>
    <w:p w:rsidR="0039752B" w:rsidRPr="006972F7" w:rsidRDefault="006972F7" w:rsidP="006972F7">
      <w:pPr>
        <w:pStyle w:val="Listenabsatz"/>
        <w:numPr>
          <w:ilvl w:val="0"/>
          <w:numId w:val="4"/>
        </w:numPr>
        <w:rPr>
          <w:rFonts w:cs="Arial"/>
        </w:rPr>
      </w:pPr>
      <w:r w:rsidRPr="006972F7">
        <w:rPr>
          <w:rFonts w:cs="Arial"/>
        </w:rPr>
        <w:t>Welche Maßnahmen können getroffen werden, um den Schutz personenbezogener Daten sicherzustellen, Garantien, Sicherheitsvorkehrungen etc.</w:t>
      </w:r>
      <w:r>
        <w:rPr>
          <w:rFonts w:cs="Arial"/>
        </w:rPr>
        <w:t>?</w:t>
      </w:r>
    </w:p>
    <w:p w:rsidR="006972F7" w:rsidRDefault="006972F7" w:rsidP="006972F7">
      <w:pPr>
        <w:pStyle w:val="Listenabsatz"/>
        <w:numPr>
          <w:ilvl w:val="0"/>
          <w:numId w:val="4"/>
        </w:numPr>
        <w:rPr>
          <w:rFonts w:cs="Arial"/>
        </w:rPr>
      </w:pPr>
      <w:r w:rsidRPr="006972F7">
        <w:rPr>
          <w:rFonts w:cs="Arial"/>
        </w:rPr>
        <w:t>Wer ist wann für die Maßnahmen zuständig</w:t>
      </w:r>
      <w:r>
        <w:rPr>
          <w:rFonts w:cs="Arial"/>
        </w:rPr>
        <w:t>?</w:t>
      </w:r>
    </w:p>
    <w:p w:rsidR="006972F7" w:rsidRDefault="006972F7" w:rsidP="006972F7">
      <w:pPr>
        <w:pStyle w:val="Listenabsatz"/>
        <w:numPr>
          <w:ilvl w:val="0"/>
          <w:numId w:val="4"/>
        </w:numPr>
        <w:rPr>
          <w:rFonts w:cs="Arial"/>
        </w:rPr>
      </w:pPr>
      <w:r>
        <w:rPr>
          <w:rFonts w:cs="Arial"/>
        </w:rPr>
        <w:t>Woran wird der Erfolg der Maßnahmen gemessen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09"/>
        <w:gridCol w:w="6953"/>
      </w:tblGrid>
      <w:tr w:rsidR="006972F7" w:rsidRPr="006972F7" w:rsidTr="006972F7">
        <w:trPr>
          <w:tblHeader/>
          <w:tblCellSpacing w:w="15" w:type="dxa"/>
        </w:trPr>
        <w:tc>
          <w:tcPr>
            <w:tcW w:w="0" w:type="auto"/>
            <w:hideMark/>
          </w:tcPr>
          <w:p w:rsidR="006972F7" w:rsidRPr="006972F7" w:rsidRDefault="006972F7" w:rsidP="006972F7">
            <w:pPr>
              <w:spacing w:before="100" w:beforeAutospacing="1" w:after="100" w:afterAutospacing="1" w:line="240" w:lineRule="auto"/>
              <w:rPr>
                <w:rFonts w:eastAsia="Times New Roman" w:cs="Times New Roman"/>
                <w:b/>
                <w:lang w:eastAsia="de-DE"/>
              </w:rPr>
            </w:pPr>
            <w:r w:rsidRPr="006972F7">
              <w:rPr>
                <w:rFonts w:eastAsia="Times New Roman" w:cs="Times New Roman"/>
                <w:b/>
                <w:iCs/>
                <w:lang w:eastAsia="de-DE"/>
              </w:rPr>
              <w:lastRenderedPageBreak/>
              <w:t>Schutzziel</w:t>
            </w:r>
          </w:p>
        </w:tc>
        <w:tc>
          <w:tcPr>
            <w:tcW w:w="0" w:type="auto"/>
            <w:hideMark/>
          </w:tcPr>
          <w:p w:rsidR="006972F7" w:rsidRPr="006972F7" w:rsidRDefault="006972F7" w:rsidP="006972F7">
            <w:pPr>
              <w:spacing w:before="100" w:beforeAutospacing="1" w:after="100" w:afterAutospacing="1" w:line="240" w:lineRule="auto"/>
              <w:rPr>
                <w:rFonts w:eastAsia="Times New Roman" w:cs="Times New Roman"/>
                <w:b/>
                <w:lang w:eastAsia="de-DE"/>
              </w:rPr>
            </w:pPr>
            <w:r w:rsidRPr="006972F7">
              <w:rPr>
                <w:rFonts w:eastAsia="Times New Roman" w:cs="Times New Roman"/>
                <w:b/>
                <w:iCs/>
                <w:lang w:eastAsia="de-DE"/>
              </w:rPr>
              <w:t>denkbare Schutzmaßnahme gegen Bedrohung</w:t>
            </w:r>
          </w:p>
        </w:tc>
      </w:tr>
      <w:tr w:rsidR="006972F7" w:rsidRPr="006972F7" w:rsidTr="006972F7">
        <w:trPr>
          <w:tblCellSpacing w:w="15" w:type="dxa"/>
        </w:trPr>
        <w:tc>
          <w:tcPr>
            <w:tcW w:w="0" w:type="auto"/>
            <w:hideMark/>
          </w:tcPr>
          <w:p w:rsidR="006972F7" w:rsidRPr="006972F7" w:rsidRDefault="006972F7" w:rsidP="006972F7">
            <w:p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Vertraulichkeit</w:t>
            </w:r>
          </w:p>
        </w:tc>
        <w:tc>
          <w:tcPr>
            <w:tcW w:w="0" w:type="auto"/>
            <w:hideMark/>
          </w:tcPr>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Rollen- und Rechtekonzept mit regelmäßiger Prüfung und beschränkten Admin-Rechten</w:t>
            </w:r>
          </w:p>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Beschränkung des User-eigenen Hardware- und Software-Einsatzes</w:t>
            </w:r>
          </w:p>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Mandantentrennung, Partitionierung</w:t>
            </w:r>
          </w:p>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Verschlüsselung</w:t>
            </w:r>
          </w:p>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Protokollierung, Log-Dateien aller Anfragen und Server-Aktivitäten</w:t>
            </w:r>
          </w:p>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–T und Privacy-Compliance</w:t>
            </w:r>
            <w:r w:rsidRPr="006972F7">
              <w:rPr>
                <w:rFonts w:eastAsia="Times New Roman" w:cs="Times New Roman"/>
                <w:lang w:eastAsia="de-DE"/>
              </w:rPr>
              <w:noBreakHyphen/>
              <w:t>Richtlinie/Einbeziehung in Code of Conduct: z.B. Sperrbildschirm bei Verlassen des Arbeitsplatzes aktivieren</w:t>
            </w:r>
          </w:p>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Schulungen</w:t>
            </w:r>
          </w:p>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Verpflichtungs- und Vertraulichkeitserklärungen, NDAs der involvierten Personen</w:t>
            </w:r>
          </w:p>
          <w:p w:rsidR="006972F7" w:rsidRPr="006972F7" w:rsidRDefault="006972F7" w:rsidP="006972F7">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Risikohinweise, z.B. auf Social Engineering, neue Angriffsformen</w:t>
            </w:r>
          </w:p>
          <w:p w:rsidR="006972F7" w:rsidRPr="006972F7" w:rsidRDefault="006972F7" w:rsidP="0072659A">
            <w:pPr>
              <w:numPr>
                <w:ilvl w:val="0"/>
                <w:numId w:val="5"/>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gut sichtbare Warnhinweise auf in Dokumenten oder Dateien enthaltene personenbezogene Daten, ggf. sogar besonderer Kategorie gem. Art. </w:t>
            </w:r>
            <w:r w:rsidR="0072659A">
              <w:rPr>
                <w:rFonts w:eastAsia="Times New Roman" w:cs="Times New Roman"/>
                <w:lang w:eastAsia="de-DE"/>
              </w:rPr>
              <w:t>9</w:t>
            </w:r>
            <w:r w:rsidRPr="006972F7">
              <w:rPr>
                <w:rFonts w:eastAsia="Times New Roman" w:cs="Times New Roman"/>
                <w:lang w:eastAsia="de-DE"/>
              </w:rPr>
              <w:t xml:space="preserve"> DS-GVO</w:t>
            </w:r>
          </w:p>
        </w:tc>
      </w:tr>
      <w:tr w:rsidR="006972F7" w:rsidRPr="006972F7" w:rsidTr="006972F7">
        <w:trPr>
          <w:tblCellSpacing w:w="15" w:type="dxa"/>
        </w:trPr>
        <w:tc>
          <w:tcPr>
            <w:tcW w:w="0" w:type="auto"/>
            <w:hideMark/>
          </w:tcPr>
          <w:p w:rsidR="006972F7" w:rsidRPr="006972F7" w:rsidRDefault="006972F7" w:rsidP="006972F7">
            <w:p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Integrität</w:t>
            </w:r>
          </w:p>
        </w:tc>
        <w:tc>
          <w:tcPr>
            <w:tcW w:w="0" w:type="auto"/>
            <w:hideMark/>
          </w:tcPr>
          <w:p w:rsidR="006972F7" w:rsidRPr="006972F7" w:rsidRDefault="006972F7" w:rsidP="006972F7">
            <w:pPr>
              <w:numPr>
                <w:ilvl w:val="0"/>
                <w:numId w:val="6"/>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Hash-Werte</w:t>
            </w:r>
          </w:p>
          <w:p w:rsidR="006972F7" w:rsidRPr="006972F7" w:rsidRDefault="006972F7" w:rsidP="006972F7">
            <w:pPr>
              <w:numPr>
                <w:ilvl w:val="0"/>
                <w:numId w:val="6"/>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Zugriffskontrollen</w:t>
            </w:r>
          </w:p>
          <w:p w:rsidR="006972F7" w:rsidRPr="006972F7" w:rsidRDefault="006972F7" w:rsidP="006972F7">
            <w:pPr>
              <w:numPr>
                <w:ilvl w:val="0"/>
                <w:numId w:val="6"/>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elektronische Signaturen</w:t>
            </w:r>
          </w:p>
          <w:p w:rsidR="006972F7" w:rsidRPr="006972F7" w:rsidRDefault="006972F7" w:rsidP="006972F7">
            <w:pPr>
              <w:numPr>
                <w:ilvl w:val="0"/>
                <w:numId w:val="6"/>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Schreibschutz</w:t>
            </w:r>
          </w:p>
          <w:p w:rsidR="006972F7" w:rsidRPr="006972F7" w:rsidRDefault="006972F7" w:rsidP="006972F7">
            <w:pPr>
              <w:numPr>
                <w:ilvl w:val="0"/>
                <w:numId w:val="6"/>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Lösch- und Korrekturkonzept</w:t>
            </w:r>
          </w:p>
          <w:p w:rsidR="006972F7" w:rsidRPr="006972F7" w:rsidRDefault="006972F7" w:rsidP="006972F7">
            <w:pPr>
              <w:numPr>
                <w:ilvl w:val="0"/>
                <w:numId w:val="6"/>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Auditierung</w:t>
            </w:r>
          </w:p>
          <w:p w:rsidR="006972F7" w:rsidRPr="006972F7" w:rsidRDefault="006972F7" w:rsidP="006972F7">
            <w:pPr>
              <w:numPr>
                <w:ilvl w:val="0"/>
                <w:numId w:val="6"/>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Protokollierung, Log-Dateien aller Anfragen und Server-Aktivitäten</w:t>
            </w:r>
          </w:p>
        </w:tc>
      </w:tr>
      <w:tr w:rsidR="006972F7" w:rsidRPr="006972F7" w:rsidTr="006972F7">
        <w:trPr>
          <w:tblCellSpacing w:w="15" w:type="dxa"/>
        </w:trPr>
        <w:tc>
          <w:tcPr>
            <w:tcW w:w="0" w:type="auto"/>
            <w:hideMark/>
          </w:tcPr>
          <w:p w:rsidR="006972F7" w:rsidRPr="006972F7" w:rsidRDefault="006972F7" w:rsidP="006972F7">
            <w:p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Verfügbarkeit</w:t>
            </w:r>
          </w:p>
        </w:tc>
        <w:tc>
          <w:tcPr>
            <w:tcW w:w="0" w:type="auto"/>
            <w:hideMark/>
          </w:tcPr>
          <w:p w:rsidR="006972F7" w:rsidRPr="006972F7" w:rsidRDefault="006972F7" w:rsidP="006972F7">
            <w:pPr>
              <w:numPr>
                <w:ilvl w:val="0"/>
                <w:numId w:val="7"/>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Zugriffskontrollen</w:t>
            </w:r>
          </w:p>
          <w:p w:rsidR="006972F7" w:rsidRPr="006972F7" w:rsidRDefault="006972F7" w:rsidP="006972F7">
            <w:pPr>
              <w:numPr>
                <w:ilvl w:val="0"/>
                <w:numId w:val="7"/>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Redundanz</w:t>
            </w:r>
          </w:p>
          <w:p w:rsidR="006972F7" w:rsidRPr="006972F7" w:rsidRDefault="006972F7" w:rsidP="006972F7">
            <w:pPr>
              <w:numPr>
                <w:ilvl w:val="0"/>
                <w:numId w:val="7"/>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Virenscanner-Einsatz</w:t>
            </w:r>
          </w:p>
          <w:p w:rsidR="006972F7" w:rsidRPr="006972F7" w:rsidRDefault="006972F7" w:rsidP="006972F7">
            <w:pPr>
              <w:numPr>
                <w:ilvl w:val="0"/>
                <w:numId w:val="7"/>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Firewalls</w:t>
            </w:r>
          </w:p>
          <w:p w:rsidR="006972F7" w:rsidRPr="006972F7" w:rsidRDefault="006972F7" w:rsidP="006972F7">
            <w:pPr>
              <w:numPr>
                <w:ilvl w:val="0"/>
                <w:numId w:val="7"/>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Partitionierung</w:t>
            </w:r>
          </w:p>
          <w:p w:rsidR="006972F7" w:rsidRPr="006972F7" w:rsidRDefault="006972F7" w:rsidP="006972F7">
            <w:pPr>
              <w:numPr>
                <w:ilvl w:val="0"/>
                <w:numId w:val="7"/>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angemessene Speichermedien und -Umstände (Schutz gegen Feuer, Korrosion etc.)</w:t>
            </w:r>
          </w:p>
          <w:p w:rsidR="006972F7" w:rsidRPr="006972F7" w:rsidRDefault="006972F7" w:rsidP="006972F7">
            <w:pPr>
              <w:numPr>
                <w:ilvl w:val="0"/>
                <w:numId w:val="7"/>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Vermeidung von Speicher-/Server-Standort mit geographischen, tektonischen, aber auch rechtlichen Herausforderungen (letzteres z. B. bei plötzlichem Wegfall des angemessenen Schutzniveaus)</w:t>
            </w:r>
          </w:p>
        </w:tc>
      </w:tr>
      <w:tr w:rsidR="006972F7" w:rsidRPr="006972F7" w:rsidTr="006972F7">
        <w:trPr>
          <w:tblCellSpacing w:w="15" w:type="dxa"/>
        </w:trPr>
        <w:tc>
          <w:tcPr>
            <w:tcW w:w="0" w:type="auto"/>
            <w:hideMark/>
          </w:tcPr>
          <w:p w:rsidR="006972F7" w:rsidRPr="006972F7" w:rsidRDefault="006972F7" w:rsidP="006972F7">
            <w:p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Nichtverkettbarkeit und Zweckbindung</w:t>
            </w:r>
          </w:p>
        </w:tc>
        <w:tc>
          <w:tcPr>
            <w:tcW w:w="0" w:type="auto"/>
            <w:hideMark/>
          </w:tcPr>
          <w:p w:rsidR="006972F7" w:rsidRPr="006972F7" w:rsidRDefault="006972F7" w:rsidP="006972F7">
            <w:pPr>
              <w:numPr>
                <w:ilvl w:val="0"/>
                <w:numId w:val="8"/>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Schulungen</w:t>
            </w:r>
          </w:p>
          <w:p w:rsidR="006972F7" w:rsidRPr="006972F7" w:rsidRDefault="006972F7" w:rsidP="006972F7">
            <w:pPr>
              <w:numPr>
                <w:ilvl w:val="0"/>
                <w:numId w:val="8"/>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Rollen- und Rechtekonzepte, u. a. Grenzen von Admin-Rechten</w:t>
            </w:r>
          </w:p>
          <w:p w:rsidR="006972F7" w:rsidRPr="006972F7" w:rsidRDefault="006972F7" w:rsidP="006972F7">
            <w:pPr>
              <w:numPr>
                <w:ilvl w:val="0"/>
                <w:numId w:val="8"/>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Anonymisierung</w:t>
            </w:r>
          </w:p>
          <w:p w:rsidR="006972F7" w:rsidRPr="006972F7" w:rsidRDefault="006972F7" w:rsidP="006972F7">
            <w:pPr>
              <w:numPr>
                <w:ilvl w:val="0"/>
                <w:numId w:val="8"/>
              </w:numPr>
              <w:spacing w:before="100" w:beforeAutospacing="1" w:after="100" w:afterAutospacing="1" w:line="240" w:lineRule="auto"/>
              <w:rPr>
                <w:rFonts w:eastAsia="Times New Roman" w:cs="Times New Roman"/>
                <w:lang w:eastAsia="de-DE"/>
              </w:rPr>
            </w:pPr>
            <w:r>
              <w:rPr>
                <w:rFonts w:eastAsia="Times New Roman" w:cs="Times New Roman"/>
                <w:lang w:eastAsia="de-DE"/>
              </w:rPr>
              <w:t>P</w:t>
            </w:r>
            <w:r w:rsidRPr="006972F7">
              <w:rPr>
                <w:rFonts w:eastAsia="Times New Roman" w:cs="Times New Roman"/>
                <w:lang w:eastAsia="de-DE"/>
              </w:rPr>
              <w:t>seudonymisierung</w:t>
            </w:r>
          </w:p>
        </w:tc>
      </w:tr>
      <w:tr w:rsidR="006972F7" w:rsidRPr="006972F7" w:rsidTr="006972F7">
        <w:trPr>
          <w:tblCellSpacing w:w="15" w:type="dxa"/>
        </w:trPr>
        <w:tc>
          <w:tcPr>
            <w:tcW w:w="0" w:type="auto"/>
            <w:hideMark/>
          </w:tcPr>
          <w:p w:rsidR="006972F7" w:rsidRPr="006972F7" w:rsidRDefault="006972F7" w:rsidP="006972F7">
            <w:p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Transparenz</w:t>
            </w:r>
          </w:p>
        </w:tc>
        <w:tc>
          <w:tcPr>
            <w:tcW w:w="0" w:type="auto"/>
            <w:hideMark/>
          </w:tcPr>
          <w:p w:rsidR="006972F7" w:rsidRPr="006972F7" w:rsidRDefault="006972F7" w:rsidP="006972F7">
            <w:pPr>
              <w:numPr>
                <w:ilvl w:val="0"/>
                <w:numId w:val="9"/>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Dokumentation</w:t>
            </w:r>
          </w:p>
          <w:p w:rsidR="006972F7" w:rsidRPr="006972F7" w:rsidRDefault="006972F7" w:rsidP="006972F7">
            <w:pPr>
              <w:numPr>
                <w:ilvl w:val="0"/>
                <w:numId w:val="9"/>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Protokollierung, auch von Änderungen, z. B. der Konfiguration</w:t>
            </w:r>
          </w:p>
        </w:tc>
      </w:tr>
      <w:tr w:rsidR="006972F7" w:rsidRPr="006972F7" w:rsidTr="006972F7">
        <w:trPr>
          <w:tblCellSpacing w:w="15" w:type="dxa"/>
        </w:trPr>
        <w:tc>
          <w:tcPr>
            <w:tcW w:w="0" w:type="auto"/>
            <w:hideMark/>
          </w:tcPr>
          <w:p w:rsidR="006972F7" w:rsidRPr="006972F7" w:rsidRDefault="006972F7" w:rsidP="006972F7">
            <w:p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Invervenierbarkeit</w:t>
            </w:r>
          </w:p>
        </w:tc>
        <w:tc>
          <w:tcPr>
            <w:tcW w:w="0" w:type="auto"/>
            <w:hideMark/>
          </w:tcPr>
          <w:p w:rsidR="006972F7" w:rsidRPr="006972F7" w:rsidRDefault="006972F7" w:rsidP="006972F7">
            <w:pPr>
              <w:numPr>
                <w:ilvl w:val="0"/>
                <w:numId w:val="10"/>
              </w:numPr>
              <w:spacing w:before="100" w:beforeAutospacing="1" w:after="100" w:afterAutospacing="1" w:line="240" w:lineRule="auto"/>
              <w:rPr>
                <w:rFonts w:eastAsia="Times New Roman" w:cs="Times New Roman"/>
                <w:lang w:eastAsia="de-DE"/>
              </w:rPr>
            </w:pPr>
            <w:r w:rsidRPr="006972F7">
              <w:rPr>
                <w:rFonts w:eastAsia="Times New Roman" w:cs="Times New Roman"/>
                <w:lang w:eastAsia="de-DE"/>
              </w:rPr>
              <w:t>Zugriff zur Ausübung von Betroffenenrechten, unmittelbar oder über geeignete Kontaktperson/Hotline/Helpdesk</w:t>
            </w:r>
          </w:p>
        </w:tc>
      </w:tr>
    </w:tbl>
    <w:p w:rsidR="006972F7" w:rsidRPr="006972F7" w:rsidRDefault="006972F7" w:rsidP="006972F7">
      <w:pPr>
        <w:rPr>
          <w:rFonts w:cs="Arial"/>
        </w:rPr>
      </w:pPr>
    </w:p>
    <w:p w:rsidR="00CA648D" w:rsidRDefault="00CA648D" w:rsidP="00CA648D">
      <w:pPr>
        <w:rPr>
          <w:highlight w:val="yellow"/>
        </w:rPr>
      </w:pPr>
    </w:p>
    <w:p w:rsidR="00CA648D" w:rsidRDefault="00576159" w:rsidP="00CA648D">
      <w:pPr>
        <w:jc w:val="center"/>
        <w:rPr>
          <w:b/>
        </w:rPr>
      </w:pPr>
      <w:r>
        <w:rPr>
          <w:b/>
        </w:rPr>
        <w:lastRenderedPageBreak/>
        <w:t xml:space="preserve">Muster einer </w:t>
      </w:r>
      <w:r w:rsidR="00CA648D">
        <w:rPr>
          <w:b/>
        </w:rPr>
        <w:t xml:space="preserve">Folgenabschätzung </w:t>
      </w:r>
    </w:p>
    <w:p w:rsidR="00CA648D" w:rsidRDefault="00CA648D" w:rsidP="00CA648D">
      <w:pPr>
        <w:jc w:val="center"/>
        <w:rPr>
          <w:b/>
        </w:rPr>
      </w:pPr>
      <w:r>
        <w:rPr>
          <w:b/>
        </w:rPr>
        <w:t>für</w:t>
      </w:r>
    </w:p>
    <w:p w:rsidR="000923A5" w:rsidRDefault="00CA648D" w:rsidP="000923A5">
      <w:pPr>
        <w:jc w:val="center"/>
        <w:rPr>
          <w:b/>
        </w:rPr>
      </w:pPr>
      <w:r>
        <w:rPr>
          <w:b/>
        </w:rPr>
        <w:t>Videoüberwachung im öffentlichen Bereich der Apotheke (Verkaufsraum)</w:t>
      </w:r>
    </w:p>
    <w:p w:rsidR="000923A5" w:rsidRPr="000923A5" w:rsidRDefault="000923A5" w:rsidP="000923A5">
      <w:pPr>
        <w:jc w:val="center"/>
        <w:rPr>
          <w:b/>
        </w:rPr>
      </w:pPr>
    </w:p>
    <w:p w:rsidR="000923A5" w:rsidRDefault="000923A5" w:rsidP="000923A5">
      <w:r w:rsidRPr="0039752B">
        <w:rPr>
          <w:b/>
        </w:rPr>
        <w:t>Zuständig für die Durchführung:</w:t>
      </w:r>
      <w:r>
        <w:t xml:space="preserve"> </w:t>
      </w:r>
      <w:r w:rsidRPr="000923A5">
        <w:t>Verantwortliche bzw. der Betriebserlaubnisinhaber</w:t>
      </w:r>
    </w:p>
    <w:p w:rsidR="000923A5" w:rsidRPr="0039752B" w:rsidRDefault="000923A5" w:rsidP="000923A5">
      <w:pPr>
        <w:rPr>
          <w:b/>
        </w:rPr>
      </w:pPr>
      <w:r w:rsidRPr="0039752B">
        <w:rPr>
          <w:b/>
        </w:rPr>
        <w:t>Hinzuziehung des Datenschutzbeauftragten der Apotheke erforderlich</w:t>
      </w:r>
    </w:p>
    <w:p w:rsidR="000923A5" w:rsidRDefault="000923A5" w:rsidP="000923A5">
      <w:r w:rsidRPr="0039752B">
        <w:rPr>
          <w:b/>
        </w:rPr>
        <w:t>Zeitpunkt:</w:t>
      </w:r>
      <w:r>
        <w:rPr>
          <w:b/>
        </w:rPr>
        <w:t xml:space="preserve"> </w:t>
      </w:r>
      <w:r>
        <w:t>vor Beginn der Verarbeitung</w:t>
      </w:r>
    </w:p>
    <w:p w:rsidR="000923A5" w:rsidRPr="000923A5" w:rsidRDefault="000923A5" w:rsidP="000923A5">
      <w:pPr>
        <w:rPr>
          <w:b/>
        </w:rPr>
      </w:pPr>
      <w:r w:rsidRPr="00E70C81">
        <w:rPr>
          <w:b/>
        </w:rPr>
        <w:t>1. Beschreibung</w:t>
      </w:r>
    </w:p>
    <w:p w:rsidR="000923A5" w:rsidRPr="000923A5" w:rsidRDefault="000923A5" w:rsidP="000923A5">
      <w:r w:rsidRPr="000923A5">
        <w:t>Im öffentlichen Raum bzw. Verkaufsraum unserer Apotheke führen wir eine Videoüberwachung durch. Dazu sollen 3 Videokameras im Verkaufsraum positioniert werden, die den Eingangsbereich, den Regalbereich und die Umgebung des HV-Tisches, jedoch nicht den HV-Tisch selbst aufnehmen. Es werden durch die drei Videokameras Bildaufzeichnungen von Mitarbeitern, Lieferanten, Vertretern und Patienten/Kunden der Apotheke oder anderen Besuchern der Apotheke gemacht. Auf den Aufnahmen werden auch Kunden bei Auswahl von Artikeln im Verkaufsraum und beim Warten in der Nähe der HV-Tische zusehen sein. Ebenso wird die Arbeitsweise der Beschäftigten zum Teil dokumentiert, soweit sie Regale einräumen, putzen, Kunden im Verkaufsraum beraten und ähnliche typische Situationen in der Apotheke.</w:t>
      </w:r>
    </w:p>
    <w:p w:rsidR="000923A5" w:rsidRPr="000923A5" w:rsidRDefault="000923A5" w:rsidP="000923A5">
      <w:r w:rsidRPr="000923A5">
        <w:t xml:space="preserve">Die Videoaufnahmen werden gespeichert und durch den Verantwortlichen oder einen seiner Filialleiter gesichtet und ausgewertet. Es findet keine Weiterleitung oder ein Zugriff Dritter statt. Der Zugang zu den Videos selbst innerhalb des Netzwerks der Apotheke ist Passwort geschützt. Die Software zum Schutz vor unberechtigtem Zugriff wird auf dem neusten Stand gehalten. Die wiederum Passwort gesicherten Computer, über die ein Zugriff auf das Netzwerk und die Videoaufnahmen möglich ist, befinden sich </w:t>
      </w:r>
      <w:r>
        <w:t>im nicht</w:t>
      </w:r>
      <w:r w:rsidRPr="000923A5">
        <w:t>öffentlichen, internen Bereich der Apotheke, zu dem der Zutritt ausschließlich den Mitarbeitern der Apotheke sowie – nach Absprache mit dem Verantwortlichen oder einem Mitarbeiter der Apotheke - bestimmten Dritten, wie Zulieferern, Vertretern und Putzkräften, vorbehalten ist.</w:t>
      </w:r>
    </w:p>
    <w:p w:rsidR="000923A5" w:rsidRDefault="000923A5" w:rsidP="000923A5">
      <w:r w:rsidRPr="000923A5">
        <w:t>Die Videoüberwachung erfolgt auf Grundlage unseres Hausrechtes und § 4 BDSG, um uns gegen bereits wiederholt aufgetretene Diebstähle und andere Straftaten zu schützen sowie diese aufzuklären und straf- und zivilrechtlich zu verfolgen. Die Videoaufzeichnungen werden 72 Stunden nach ihrer Aufzeichnung gelöscht. Sofern die Begehung eines Diebstahls oder einer anderen Straftat aufgezeichnet wird, wird diese Sequenz an die Strafverfolgungsbehörden übergeben und erst mit Abschluss der Verfolgung unserer Rechtsansprüche gelöscht.</w:t>
      </w:r>
    </w:p>
    <w:p w:rsidR="000923A5" w:rsidRDefault="000923A5" w:rsidP="000923A5">
      <w:pPr>
        <w:rPr>
          <w:b/>
        </w:rPr>
      </w:pPr>
      <w:r w:rsidRPr="00E70C81">
        <w:rPr>
          <w:b/>
        </w:rPr>
        <w:t>2. Bewertung</w:t>
      </w:r>
    </w:p>
    <w:p w:rsidR="000923A5" w:rsidRPr="000923A5" w:rsidRDefault="000923A5" w:rsidP="000923A5">
      <w:r w:rsidRPr="000923A5">
        <w:t xml:space="preserve">Durch die Videoüberwachung werden die Patienten/Kunden, Lieferanten, Mitarbeiter und andere Besucher der Apotheke in ihrem Grundrecht auf informationelle Selbstbestimmung verletzt. Es werden durch die Videoaufnahmen personenbezogene Daten besonderer Kategorien gemäß Artikel 9 Absatz 1 DS-GVO ohne Einwilligung der Betroffenen verarbeitet, denn es wird aufgezeichnet, welche freiverkäuflichen und apothekenüblichen Produkte wie Apothekenkosmetik, Verbandsmaterial, Nahrungsergänzungsmittel oder ähnliches der Patient/Kunde betrachtet und auswählt. Auch ist es bei hochauflösenden Aufnahmen unter Umständen möglich, zu erkennen, welche Arznei- oder Hilfsmittel auf einem Rezept verschrieben wurden, das der Patient beim Warten in der Apotheke möglicherweise in der Hand hält. Dies lässt Rückschlüsse auf den </w:t>
      </w:r>
      <w:r w:rsidRPr="000923A5">
        <w:lastRenderedPageBreak/>
        <w:t>Gesundheitszustand zu, weshalb somit personenbezogene Daten besonderer Kategorien gemäß Artikel 9 Absatz 1 DS-GVO erhoben werden. Dazu wird meist allein der Umstand des Besuchs einer Apotheke schon als Datum mit Gesundheitsbezug angesehen. Ebenso wäre es möglich, Bewegungsprofile regelmäßig erscheinender Kunden zu erstellen.</w:t>
      </w:r>
    </w:p>
    <w:p w:rsidR="000923A5" w:rsidRPr="000923A5" w:rsidRDefault="000923A5" w:rsidP="000923A5">
      <w:r w:rsidRPr="000923A5">
        <w:t>Es wird die Arbeitsweise der Beschäftigten im Bereich des Verkaufsraumes dokumentiert, welches bei Fehlverhalten arbeitsrechtliche Konsequenzen haben könnte.</w:t>
      </w:r>
    </w:p>
    <w:p w:rsidR="000923A5" w:rsidRPr="000923A5" w:rsidRDefault="000923A5" w:rsidP="000923A5">
      <w:r w:rsidRPr="000923A5">
        <w:t>Ohne Zugriffskontrolle und die weiteren schon beschriebenen Sicherheitsmaßnahmen besteht ein hohes Risiko für die Rechte und Freiheiten der betroffenen Personen mit einer hohen Eintrittswahrscheinlichkeit. Besonders wenn auch der HV-Tisch gefilmt werden würde, bestünde ein besonders hohes Risiko für einen Schaden durch die Verletzung von Rechten und Freiheiten der Betroffenen, der mit wesentlicher Eintrittswahrscheinlichkeit zu wesentlichen Konsequenzen führen könnte. Wenn gefilmt wird, welche Arzneimittel oder ähnliches von Betroffenen bezogen werden, lässt dies einfach Rückschlüsse auf ihren Gesundheitszustand und somit auf ihre Arbeitsfähigkeit, Erwerbsfähigkeit, Familienplanung, Lebenserwartung und Kreditwürdigkeit zu. Daher muss von einem direkten Filmen des HV-Tisches Abstand genommen werden</w:t>
      </w:r>
    </w:p>
    <w:p w:rsidR="000923A5" w:rsidRDefault="000923A5" w:rsidP="000923A5">
      <w:r w:rsidRPr="000923A5">
        <w:t>Dem gegenüber steht der legitime Zweck, sich vor Diebstählen zu schützen und diese und andere Straftaten verfolgen zu können. Der Verantwortliche hat zum einen das Hausrecht und möchte sein Eigentum schützen. Mithin handelt es sich bei Verkaufsräumen mit Ausnahme des HV-Tisches nicht um Räumlichkeiten, in denen Betroffene in ihrer Intimsphäre betroffen sind. Vielmehr handelt es sich bei Verkaufsräumen um öffentlich-zugängliche Räume, in denen unterschiedlichste Menschen aufeinandertreffen und eine Überwachung seit vielen Jahren immer üblicher wird.</w:t>
      </w:r>
    </w:p>
    <w:p w:rsidR="000923A5" w:rsidRPr="00E70C81" w:rsidRDefault="000923A5" w:rsidP="000923A5">
      <w:pPr>
        <w:rPr>
          <w:rFonts w:cs="Arial"/>
          <w:b/>
        </w:rPr>
      </w:pPr>
      <w:r w:rsidRPr="00E70C81">
        <w:rPr>
          <w:rFonts w:cs="Arial"/>
          <w:b/>
        </w:rPr>
        <w:t>3. Bewältigung der identifizierten Risiken</w:t>
      </w:r>
    </w:p>
    <w:p w:rsidR="000923A5" w:rsidRPr="000923A5" w:rsidRDefault="000923A5" w:rsidP="000923A5">
      <w:r w:rsidRPr="000923A5">
        <w:rPr>
          <w:b/>
        </w:rPr>
        <w:t>Maßnahmen:</w:t>
      </w:r>
      <w:r w:rsidRPr="000923A5">
        <w:t xml:space="preserve"> </w:t>
      </w:r>
    </w:p>
    <w:p w:rsidR="000923A5" w:rsidRPr="000923A5" w:rsidRDefault="000923A5" w:rsidP="000923A5">
      <w:pPr>
        <w:pStyle w:val="Listenabsatz"/>
        <w:numPr>
          <w:ilvl w:val="0"/>
          <w:numId w:val="11"/>
        </w:numPr>
      </w:pPr>
      <w:r w:rsidRPr="000923A5">
        <w:t>Information der Kunden durch gut sichtbares Hinweisschild am Eingang der Apotheke</w:t>
      </w:r>
    </w:p>
    <w:p w:rsidR="000923A5" w:rsidRPr="000923A5" w:rsidRDefault="000923A5" w:rsidP="000923A5">
      <w:pPr>
        <w:pStyle w:val="Listenabsatz"/>
        <w:numPr>
          <w:ilvl w:val="0"/>
          <w:numId w:val="11"/>
        </w:numPr>
      </w:pPr>
      <w:r w:rsidRPr="000923A5">
        <w:t>Unterrichtung der Mitarbeiter darüber, in welchen Bereichen der Apotheke eine Videoüberwachung erfolgt,</w:t>
      </w:r>
    </w:p>
    <w:p w:rsidR="000923A5" w:rsidRPr="000923A5" w:rsidRDefault="000923A5" w:rsidP="000923A5">
      <w:pPr>
        <w:pStyle w:val="Listenabsatz"/>
        <w:numPr>
          <w:ilvl w:val="0"/>
          <w:numId w:val="11"/>
        </w:numPr>
      </w:pPr>
      <w:r w:rsidRPr="000923A5">
        <w:t xml:space="preserve">Löschung der Aufzeichnungen unmittelbar nach Sichtung der Aufzeichnung, eine Sichtung erfolgt durch den Verantwortlichen oder durch einen berechtigen Mitarbeiter in der Regel einmal pro Woche, </w:t>
      </w:r>
    </w:p>
    <w:p w:rsidR="000923A5" w:rsidRPr="000923A5" w:rsidRDefault="000923A5" w:rsidP="000923A5">
      <w:pPr>
        <w:pStyle w:val="Listenabsatz"/>
        <w:numPr>
          <w:ilvl w:val="0"/>
          <w:numId w:val="11"/>
        </w:numPr>
      </w:pPr>
      <w:r w:rsidRPr="000923A5">
        <w:t xml:space="preserve">nur Aufnahmen in Bereichen, die von hohem Diebstahlrisiko betroffen sind, </w:t>
      </w:r>
    </w:p>
    <w:p w:rsidR="000923A5" w:rsidRPr="000923A5" w:rsidRDefault="000A1115" w:rsidP="000923A5">
      <w:pPr>
        <w:pStyle w:val="Listenabsatz"/>
        <w:numPr>
          <w:ilvl w:val="0"/>
          <w:numId w:val="11"/>
        </w:numPr>
      </w:pPr>
      <w:r>
        <w:t xml:space="preserve">Zugriff und </w:t>
      </w:r>
      <w:r w:rsidR="000923A5" w:rsidRPr="000923A5">
        <w:t xml:space="preserve">Auswertung nur durch den Verantwortlichen oder einen Filialleiter, </w:t>
      </w:r>
    </w:p>
    <w:p w:rsidR="000923A5" w:rsidRPr="000923A5" w:rsidRDefault="000923A5" w:rsidP="000923A5">
      <w:pPr>
        <w:pStyle w:val="Listenabsatz"/>
        <w:numPr>
          <w:ilvl w:val="0"/>
          <w:numId w:val="11"/>
        </w:numPr>
      </w:pPr>
      <w:r w:rsidRPr="000923A5">
        <w:t>Zugriff auf Videoaufnahmen ist Passwort geschützt, Computer / Zugang zum Netzwerk ist Passwort geschützt</w:t>
      </w:r>
      <w:r>
        <w:t>, Computer stehen nur im nicht</w:t>
      </w:r>
      <w:r w:rsidRPr="000923A5">
        <w:t>öffentlichen Bereich der Apotheke</w:t>
      </w:r>
    </w:p>
    <w:p w:rsidR="000923A5" w:rsidRDefault="000923A5" w:rsidP="000923A5">
      <w:pPr>
        <w:pStyle w:val="Listenabsatz"/>
        <w:numPr>
          <w:ilvl w:val="0"/>
          <w:numId w:val="11"/>
        </w:numPr>
      </w:pPr>
      <w:r w:rsidRPr="000923A5">
        <w:t>Keine Aufnahmen des HV-Tischs, um sicherzustellen, dass intime Gesundheitsdaten, wie von Rezepten und verkauften Arzneimitteln etc. nicht zusätzlich verarbeitet werden</w:t>
      </w:r>
    </w:p>
    <w:p w:rsidR="00D27A65" w:rsidRPr="000923A5" w:rsidRDefault="00D27A65" w:rsidP="000923A5">
      <w:pPr>
        <w:pStyle w:val="Listenabsatz"/>
        <w:numPr>
          <w:ilvl w:val="0"/>
          <w:numId w:val="11"/>
        </w:numPr>
      </w:pPr>
      <w:r>
        <w:t>Regelmäßige Überprüfung, ob eine Videoüberwachung noch notwendig ist</w:t>
      </w:r>
      <w:r w:rsidR="003258F7">
        <w:t xml:space="preserve"> bzw. ihre tatsächlichen und rechtlichen Voraussetzungen gegeben sind</w:t>
      </w:r>
    </w:p>
    <w:p w:rsidR="00CA648D" w:rsidRPr="000923A5" w:rsidRDefault="00CA648D" w:rsidP="00CA648D"/>
    <w:sectPr w:rsidR="00CA648D" w:rsidRPr="000923A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D4C" w:rsidRDefault="00AE2D4C" w:rsidP="004151DA">
      <w:pPr>
        <w:spacing w:after="0" w:line="240" w:lineRule="auto"/>
      </w:pPr>
      <w:r>
        <w:separator/>
      </w:r>
    </w:p>
  </w:endnote>
  <w:endnote w:type="continuationSeparator" w:id="0">
    <w:p w:rsidR="00AE2D4C" w:rsidRDefault="00AE2D4C" w:rsidP="0041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507843"/>
      <w:docPartObj>
        <w:docPartGallery w:val="Page Numbers (Bottom of Page)"/>
        <w:docPartUnique/>
      </w:docPartObj>
    </w:sdtPr>
    <w:sdtEndPr/>
    <w:sdtContent>
      <w:p w:rsidR="004151DA" w:rsidRDefault="004151DA">
        <w:pPr>
          <w:pStyle w:val="Fuzeile"/>
          <w:jc w:val="center"/>
        </w:pPr>
        <w:r>
          <w:fldChar w:fldCharType="begin"/>
        </w:r>
        <w:r>
          <w:instrText>PAGE   \* MERGEFORMAT</w:instrText>
        </w:r>
        <w:r>
          <w:fldChar w:fldCharType="separate"/>
        </w:r>
        <w:r w:rsidR="00482868">
          <w:rPr>
            <w:noProof/>
          </w:rPr>
          <w:t>1</w:t>
        </w:r>
        <w:r>
          <w:fldChar w:fldCharType="end"/>
        </w:r>
      </w:p>
    </w:sdtContent>
  </w:sdt>
  <w:p w:rsidR="004151DA" w:rsidRDefault="004151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D4C" w:rsidRDefault="00AE2D4C" w:rsidP="004151DA">
      <w:pPr>
        <w:spacing w:after="0" w:line="240" w:lineRule="auto"/>
      </w:pPr>
      <w:r>
        <w:separator/>
      </w:r>
    </w:p>
  </w:footnote>
  <w:footnote w:type="continuationSeparator" w:id="0">
    <w:p w:rsidR="00AE2D4C" w:rsidRDefault="00AE2D4C" w:rsidP="004151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13A3"/>
    <w:multiLevelType w:val="hybridMultilevel"/>
    <w:tmpl w:val="6C08C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BDD7E09"/>
    <w:multiLevelType w:val="multilevel"/>
    <w:tmpl w:val="01D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8313B"/>
    <w:multiLevelType w:val="multilevel"/>
    <w:tmpl w:val="C44A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D10CB"/>
    <w:multiLevelType w:val="multilevel"/>
    <w:tmpl w:val="C9AA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312842"/>
    <w:multiLevelType w:val="multilevel"/>
    <w:tmpl w:val="27A8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BD39E6"/>
    <w:multiLevelType w:val="multilevel"/>
    <w:tmpl w:val="E362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D96D63"/>
    <w:multiLevelType w:val="hybridMultilevel"/>
    <w:tmpl w:val="91F62C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2E9409C"/>
    <w:multiLevelType w:val="multilevel"/>
    <w:tmpl w:val="E3E8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151E2C"/>
    <w:multiLevelType w:val="hybridMultilevel"/>
    <w:tmpl w:val="C33E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D7165D9"/>
    <w:multiLevelType w:val="multilevel"/>
    <w:tmpl w:val="2A8E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F427E8"/>
    <w:multiLevelType w:val="multilevel"/>
    <w:tmpl w:val="7906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6"/>
  </w:num>
  <w:num w:numId="4">
    <w:abstractNumId w:val="8"/>
  </w:num>
  <w:num w:numId="5">
    <w:abstractNumId w:val="3"/>
  </w:num>
  <w:num w:numId="6">
    <w:abstractNumId w:val="1"/>
  </w:num>
  <w:num w:numId="7">
    <w:abstractNumId w:val="7"/>
  </w:num>
  <w:num w:numId="8">
    <w:abstractNumId w:val="5"/>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2B"/>
    <w:rsid w:val="00046B3E"/>
    <w:rsid w:val="000923A5"/>
    <w:rsid w:val="00093164"/>
    <w:rsid w:val="000A1115"/>
    <w:rsid w:val="000C77FF"/>
    <w:rsid w:val="001C7D00"/>
    <w:rsid w:val="002B0B0C"/>
    <w:rsid w:val="002C787C"/>
    <w:rsid w:val="003258F7"/>
    <w:rsid w:val="003945AF"/>
    <w:rsid w:val="0039752B"/>
    <w:rsid w:val="003C42A7"/>
    <w:rsid w:val="003E3D60"/>
    <w:rsid w:val="004151DA"/>
    <w:rsid w:val="00482868"/>
    <w:rsid w:val="00496D07"/>
    <w:rsid w:val="004C1F05"/>
    <w:rsid w:val="004C5473"/>
    <w:rsid w:val="00576159"/>
    <w:rsid w:val="00640BCC"/>
    <w:rsid w:val="006647DF"/>
    <w:rsid w:val="006972F7"/>
    <w:rsid w:val="006A7397"/>
    <w:rsid w:val="0072659A"/>
    <w:rsid w:val="007C65A0"/>
    <w:rsid w:val="007D6696"/>
    <w:rsid w:val="007F17CB"/>
    <w:rsid w:val="00804E1C"/>
    <w:rsid w:val="00867D5F"/>
    <w:rsid w:val="00A12C18"/>
    <w:rsid w:val="00A2740E"/>
    <w:rsid w:val="00A35BE9"/>
    <w:rsid w:val="00A81E23"/>
    <w:rsid w:val="00AE2D4C"/>
    <w:rsid w:val="00BC7AFC"/>
    <w:rsid w:val="00BD0D26"/>
    <w:rsid w:val="00C7698A"/>
    <w:rsid w:val="00C90674"/>
    <w:rsid w:val="00CA648D"/>
    <w:rsid w:val="00CC6362"/>
    <w:rsid w:val="00D27125"/>
    <w:rsid w:val="00D27A65"/>
    <w:rsid w:val="00E3228B"/>
    <w:rsid w:val="00E3484C"/>
    <w:rsid w:val="00E361B1"/>
    <w:rsid w:val="00E70C81"/>
    <w:rsid w:val="00E7796E"/>
    <w:rsid w:val="00E94AB8"/>
    <w:rsid w:val="00EA2A41"/>
    <w:rsid w:val="00EE5FF6"/>
    <w:rsid w:val="00F05429"/>
    <w:rsid w:val="00F34CBC"/>
    <w:rsid w:val="00F43127"/>
    <w:rsid w:val="00F4508A"/>
    <w:rsid w:val="00F50807"/>
    <w:rsid w:val="00F55021"/>
    <w:rsid w:val="00FA5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
    <w:name w:val="aufz"/>
    <w:basedOn w:val="Standard"/>
    <w:rsid w:val="003945A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ft">
    <w:name w:val="left"/>
    <w:basedOn w:val="Standard"/>
    <w:rsid w:val="003945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945AF"/>
    <w:rPr>
      <w:i/>
      <w:iCs/>
    </w:rPr>
  </w:style>
  <w:style w:type="paragraph" w:styleId="StandardWeb">
    <w:name w:val="Normal (Web)"/>
    <w:basedOn w:val="Standard"/>
    <w:uiPriority w:val="99"/>
    <w:semiHidden/>
    <w:unhideWhenUsed/>
    <w:rsid w:val="003945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fz1">
    <w:name w:val="aufz1"/>
    <w:basedOn w:val="Absatz-Standardschriftart"/>
    <w:rsid w:val="00804E1C"/>
  </w:style>
  <w:style w:type="paragraph" w:styleId="Listenabsatz">
    <w:name w:val="List Paragraph"/>
    <w:basedOn w:val="Standard"/>
    <w:uiPriority w:val="34"/>
    <w:qFormat/>
    <w:rsid w:val="00804E1C"/>
    <w:pPr>
      <w:ind w:left="720"/>
      <w:contextualSpacing/>
    </w:pPr>
  </w:style>
  <w:style w:type="character" w:customStyle="1" w:styleId="zit">
    <w:name w:val="zit"/>
    <w:basedOn w:val="Absatz-Standardschriftart"/>
    <w:rsid w:val="006972F7"/>
  </w:style>
  <w:style w:type="character" w:styleId="Hyperlink">
    <w:name w:val="Hyperlink"/>
    <w:basedOn w:val="Absatz-Standardschriftart"/>
    <w:uiPriority w:val="99"/>
    <w:semiHidden/>
    <w:unhideWhenUsed/>
    <w:rsid w:val="006972F7"/>
    <w:rPr>
      <w:color w:val="0000FF"/>
      <w:u w:val="single"/>
    </w:rPr>
  </w:style>
  <w:style w:type="paragraph" w:styleId="Kopfzeile">
    <w:name w:val="header"/>
    <w:basedOn w:val="Standard"/>
    <w:link w:val="KopfzeileZchn"/>
    <w:uiPriority w:val="99"/>
    <w:unhideWhenUsed/>
    <w:rsid w:val="004151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1DA"/>
  </w:style>
  <w:style w:type="paragraph" w:styleId="Fuzeile">
    <w:name w:val="footer"/>
    <w:basedOn w:val="Standard"/>
    <w:link w:val="FuzeileZchn"/>
    <w:uiPriority w:val="99"/>
    <w:unhideWhenUsed/>
    <w:rsid w:val="004151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1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
    <w:name w:val="aufz"/>
    <w:basedOn w:val="Standard"/>
    <w:rsid w:val="003945A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ft">
    <w:name w:val="left"/>
    <w:basedOn w:val="Standard"/>
    <w:rsid w:val="003945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945AF"/>
    <w:rPr>
      <w:i/>
      <w:iCs/>
    </w:rPr>
  </w:style>
  <w:style w:type="paragraph" w:styleId="StandardWeb">
    <w:name w:val="Normal (Web)"/>
    <w:basedOn w:val="Standard"/>
    <w:uiPriority w:val="99"/>
    <w:semiHidden/>
    <w:unhideWhenUsed/>
    <w:rsid w:val="003945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fz1">
    <w:name w:val="aufz1"/>
    <w:basedOn w:val="Absatz-Standardschriftart"/>
    <w:rsid w:val="00804E1C"/>
  </w:style>
  <w:style w:type="paragraph" w:styleId="Listenabsatz">
    <w:name w:val="List Paragraph"/>
    <w:basedOn w:val="Standard"/>
    <w:uiPriority w:val="34"/>
    <w:qFormat/>
    <w:rsid w:val="00804E1C"/>
    <w:pPr>
      <w:ind w:left="720"/>
      <w:contextualSpacing/>
    </w:pPr>
  </w:style>
  <w:style w:type="character" w:customStyle="1" w:styleId="zit">
    <w:name w:val="zit"/>
    <w:basedOn w:val="Absatz-Standardschriftart"/>
    <w:rsid w:val="006972F7"/>
  </w:style>
  <w:style w:type="character" w:styleId="Hyperlink">
    <w:name w:val="Hyperlink"/>
    <w:basedOn w:val="Absatz-Standardschriftart"/>
    <w:uiPriority w:val="99"/>
    <w:semiHidden/>
    <w:unhideWhenUsed/>
    <w:rsid w:val="006972F7"/>
    <w:rPr>
      <w:color w:val="0000FF"/>
      <w:u w:val="single"/>
    </w:rPr>
  </w:style>
  <w:style w:type="paragraph" w:styleId="Kopfzeile">
    <w:name w:val="header"/>
    <w:basedOn w:val="Standard"/>
    <w:link w:val="KopfzeileZchn"/>
    <w:uiPriority w:val="99"/>
    <w:unhideWhenUsed/>
    <w:rsid w:val="004151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51DA"/>
  </w:style>
  <w:style w:type="paragraph" w:styleId="Fuzeile">
    <w:name w:val="footer"/>
    <w:basedOn w:val="Standard"/>
    <w:link w:val="FuzeileZchn"/>
    <w:uiPriority w:val="99"/>
    <w:unhideWhenUsed/>
    <w:rsid w:val="004151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5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87487">
      <w:bodyDiv w:val="1"/>
      <w:marLeft w:val="0"/>
      <w:marRight w:val="0"/>
      <w:marTop w:val="0"/>
      <w:marBottom w:val="0"/>
      <w:divBdr>
        <w:top w:val="none" w:sz="0" w:space="0" w:color="auto"/>
        <w:left w:val="none" w:sz="0" w:space="0" w:color="auto"/>
        <w:bottom w:val="none" w:sz="0" w:space="0" w:color="auto"/>
        <w:right w:val="none" w:sz="0" w:space="0" w:color="auto"/>
      </w:divBdr>
    </w:div>
    <w:div w:id="813256882">
      <w:bodyDiv w:val="1"/>
      <w:marLeft w:val="0"/>
      <w:marRight w:val="0"/>
      <w:marTop w:val="0"/>
      <w:marBottom w:val="0"/>
      <w:divBdr>
        <w:top w:val="none" w:sz="0" w:space="0" w:color="auto"/>
        <w:left w:val="none" w:sz="0" w:space="0" w:color="auto"/>
        <w:bottom w:val="none" w:sz="0" w:space="0" w:color="auto"/>
        <w:right w:val="none" w:sz="0" w:space="0" w:color="auto"/>
      </w:divBdr>
    </w:div>
    <w:div w:id="871070345">
      <w:bodyDiv w:val="1"/>
      <w:marLeft w:val="0"/>
      <w:marRight w:val="0"/>
      <w:marTop w:val="0"/>
      <w:marBottom w:val="0"/>
      <w:divBdr>
        <w:top w:val="none" w:sz="0" w:space="0" w:color="auto"/>
        <w:left w:val="none" w:sz="0" w:space="0" w:color="auto"/>
        <w:bottom w:val="none" w:sz="0" w:space="0" w:color="auto"/>
        <w:right w:val="none" w:sz="0" w:space="0" w:color="auto"/>
      </w:divBdr>
      <w:divsChild>
        <w:div w:id="2113818783">
          <w:marLeft w:val="0"/>
          <w:marRight w:val="0"/>
          <w:marTop w:val="0"/>
          <w:marBottom w:val="0"/>
          <w:divBdr>
            <w:top w:val="none" w:sz="0" w:space="0" w:color="auto"/>
            <w:left w:val="none" w:sz="0" w:space="0" w:color="auto"/>
            <w:bottom w:val="none" w:sz="0" w:space="0" w:color="auto"/>
            <w:right w:val="none" w:sz="0" w:space="0" w:color="auto"/>
          </w:divBdr>
        </w:div>
        <w:div w:id="1393502192">
          <w:marLeft w:val="0"/>
          <w:marRight w:val="0"/>
          <w:marTop w:val="0"/>
          <w:marBottom w:val="0"/>
          <w:divBdr>
            <w:top w:val="none" w:sz="0" w:space="0" w:color="auto"/>
            <w:left w:val="none" w:sz="0" w:space="0" w:color="auto"/>
            <w:bottom w:val="none" w:sz="0" w:space="0" w:color="auto"/>
            <w:right w:val="none" w:sz="0" w:space="0" w:color="auto"/>
          </w:divBdr>
        </w:div>
      </w:divsChild>
    </w:div>
    <w:div w:id="154613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1743</Words>
  <Characters>10982</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Franze, Juliane</dc:creator>
  <cp:lastModifiedBy>Admin</cp:lastModifiedBy>
  <cp:revision>2</cp:revision>
  <dcterms:created xsi:type="dcterms:W3CDTF">2018-07-17T07:52:00Z</dcterms:created>
  <dcterms:modified xsi:type="dcterms:W3CDTF">2018-07-17T07:52:00Z</dcterms:modified>
</cp:coreProperties>
</file>